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C139" w14:textId="6603EB79" w:rsidR="008501E5" w:rsidRPr="00042B34" w:rsidRDefault="008501E5" w:rsidP="00BE1C8A">
      <w:pPr>
        <w:rPr>
          <w:rFonts w:cstheme="minorHAnsi"/>
          <w:sz w:val="20"/>
          <w:szCs w:val="20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130"/>
        <w:gridCol w:w="1984"/>
        <w:gridCol w:w="7372"/>
      </w:tblGrid>
      <w:tr w:rsidR="005D1744" w:rsidRPr="00042B34" w14:paraId="4A5E13E3" w14:textId="77777777" w:rsidTr="00042B34">
        <w:trPr>
          <w:trHeight w:val="528"/>
        </w:trPr>
        <w:tc>
          <w:tcPr>
            <w:tcW w:w="539" w:type="pct"/>
            <w:vMerge w:val="restart"/>
            <w:shd w:val="pct10" w:color="auto" w:fill="auto"/>
            <w:vAlign w:val="center"/>
          </w:tcPr>
          <w:p w14:paraId="2BA19A95" w14:textId="03D8A85E" w:rsidR="005D1744" w:rsidRPr="00042B34" w:rsidRDefault="005D1744" w:rsidP="00337C9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946" w:type="pct"/>
            <w:shd w:val="pct10" w:color="auto" w:fill="auto"/>
            <w:vAlign w:val="center"/>
          </w:tcPr>
          <w:p w14:paraId="71B41D45" w14:textId="30387912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Nazwa parametru, elementu lub cechy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5D3C36C" w14:textId="6A3F17F4" w:rsidR="005D1744" w:rsidRPr="00042B34" w:rsidRDefault="005D1744" w:rsidP="00BE1C8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Wymagane minimalne parametry techniczne SERWER + UPS</w:t>
            </w:r>
          </w:p>
        </w:tc>
      </w:tr>
      <w:tr w:rsidR="005D1744" w:rsidRPr="00042B34" w14:paraId="4CA2BFDB" w14:textId="5EFE4AC1" w:rsidTr="00042B34">
        <w:trPr>
          <w:trHeight w:val="70"/>
        </w:trPr>
        <w:tc>
          <w:tcPr>
            <w:tcW w:w="539" w:type="pct"/>
            <w:vMerge/>
            <w:shd w:val="pct10" w:color="auto" w:fill="auto"/>
          </w:tcPr>
          <w:p w14:paraId="3F909D47" w14:textId="77777777" w:rsidR="005D1744" w:rsidRPr="00042B34" w:rsidRDefault="005D1744" w:rsidP="00BE1C8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288F81AF" w14:textId="09C5316D" w:rsidR="005D1744" w:rsidRPr="00042B34" w:rsidRDefault="005D1744" w:rsidP="00BE1C8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46EE061" w14:textId="01DCB636" w:rsidR="005D1744" w:rsidRPr="00042B34" w:rsidRDefault="005D1744" w:rsidP="00BE1C8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5D1744" w:rsidRPr="00042B34" w14:paraId="21FB5DEF" w14:textId="34679301" w:rsidTr="00042B34">
        <w:trPr>
          <w:trHeight w:val="528"/>
        </w:trPr>
        <w:tc>
          <w:tcPr>
            <w:tcW w:w="1485" w:type="pct"/>
            <w:gridSpan w:val="2"/>
            <w:shd w:val="pct10" w:color="auto" w:fill="auto"/>
            <w:vAlign w:val="center"/>
          </w:tcPr>
          <w:p w14:paraId="4152865E" w14:textId="19D3C5C6" w:rsidR="005D1744" w:rsidRPr="00042B34" w:rsidRDefault="005D1744" w:rsidP="00337C99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TYP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15F98F4E" w14:textId="5F4E443E" w:rsidR="005D1744" w:rsidRPr="00042B34" w:rsidRDefault="005D1744" w:rsidP="00BC50A7">
            <w:pPr>
              <w:spacing w:after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42B34">
              <w:rPr>
                <w:rFonts w:cstheme="minorHAnsi"/>
                <w:bCs/>
                <w:sz w:val="20"/>
                <w:szCs w:val="20"/>
              </w:rPr>
              <w:t>W ofercie wymagane jest podanie modelu, symbolu oraz producenta.</w:t>
            </w:r>
          </w:p>
        </w:tc>
      </w:tr>
      <w:tr w:rsidR="005D1744" w:rsidRPr="00042B34" w14:paraId="47252408" w14:textId="13A12204" w:rsidTr="00042B34">
        <w:tc>
          <w:tcPr>
            <w:tcW w:w="539" w:type="pct"/>
            <w:shd w:val="pct10" w:color="auto" w:fill="auto"/>
            <w:vAlign w:val="center"/>
          </w:tcPr>
          <w:p w14:paraId="57D079F6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3AAAD13B" w14:textId="2D76522D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076615F5" w14:textId="2772E92C" w:rsidR="005D1744" w:rsidRPr="00042B34" w:rsidRDefault="005D1744" w:rsidP="003F00F0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042B34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 o wysokości max 1U z możliwością instalacji </w:t>
            </w:r>
            <w:r w:rsidR="009D142B" w:rsidRPr="00932987">
              <w:rPr>
                <w:rFonts w:cstheme="minorHAnsi"/>
                <w:sz w:val="20"/>
                <w:szCs w:val="20"/>
              </w:rPr>
              <w:t>min 4</w:t>
            </w:r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 dysków 2.5”  </w:t>
            </w:r>
          </w:p>
          <w:p w14:paraId="4629A82A" w14:textId="4BEE4B2A" w:rsidR="005D1744" w:rsidRPr="00042B34" w:rsidRDefault="005D1744" w:rsidP="003F00F0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042B34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 i wysuwanie serwera do celów serwisowych wraz z </w:t>
            </w:r>
            <w:proofErr w:type="spellStart"/>
            <w:r w:rsidRPr="00042B34">
              <w:rPr>
                <w:rFonts w:cstheme="minorHAnsi"/>
                <w:color w:val="000000"/>
                <w:sz w:val="20"/>
                <w:szCs w:val="20"/>
              </w:rPr>
              <w:t>organizerem</w:t>
            </w:r>
            <w:proofErr w:type="spellEnd"/>
            <w:r w:rsidRPr="00042B34">
              <w:rPr>
                <w:rFonts w:cstheme="minorHAnsi"/>
                <w:color w:val="000000"/>
                <w:sz w:val="20"/>
                <w:szCs w:val="20"/>
              </w:rPr>
              <w:t xml:space="preserve"> na kable.</w:t>
            </w:r>
          </w:p>
        </w:tc>
      </w:tr>
      <w:tr w:rsidR="005D1744" w:rsidRPr="00042B34" w14:paraId="106D6376" w14:textId="261E87CF" w:rsidTr="00042B34">
        <w:tc>
          <w:tcPr>
            <w:tcW w:w="539" w:type="pct"/>
            <w:shd w:val="pct10" w:color="auto" w:fill="auto"/>
            <w:vAlign w:val="center"/>
          </w:tcPr>
          <w:p w14:paraId="032C5E15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27AF5DBC" w14:textId="74B036B4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19158DF" w14:textId="77777777" w:rsidR="005D1744" w:rsidRPr="00042B34" w:rsidRDefault="005D1744" w:rsidP="003F00F0">
            <w:pPr>
              <w:pStyle w:val="Akapitzlist"/>
              <w:numPr>
                <w:ilvl w:val="0"/>
                <w:numId w:val="2"/>
              </w:numPr>
              <w:spacing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Płyta główna z możliwością zainstalowania jednego procesora. Płyta główna musi być zaprojektowana przez producenta serwera i oznaczona jego znakiem firmowym.  </w:t>
            </w:r>
          </w:p>
          <w:p w14:paraId="0DABBC8F" w14:textId="600B17E9" w:rsidR="005D1744" w:rsidRPr="00042B34" w:rsidRDefault="005D1744" w:rsidP="003F00F0">
            <w:pPr>
              <w:pStyle w:val="Akapitzlist"/>
              <w:numPr>
                <w:ilvl w:val="0"/>
                <w:numId w:val="2"/>
              </w:numPr>
              <w:spacing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Płyta powinna obsługiwać do min. 128GB, na płycie głównej powinno znajdować się minimum 4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przeznaczone dla pamięci.</w:t>
            </w:r>
          </w:p>
        </w:tc>
      </w:tr>
      <w:tr w:rsidR="005D1744" w:rsidRPr="00042B34" w14:paraId="3B419B9D" w14:textId="284C11E6" w:rsidTr="00042B34">
        <w:tc>
          <w:tcPr>
            <w:tcW w:w="539" w:type="pct"/>
            <w:shd w:val="pct10" w:color="auto" w:fill="auto"/>
            <w:vAlign w:val="center"/>
          </w:tcPr>
          <w:p w14:paraId="298F9424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0046ED00" w14:textId="5A4C257E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highlight w:val="red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Chipset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3BFEDBC3" w14:textId="24483DA9" w:rsidR="005D1744" w:rsidRPr="00042B34" w:rsidRDefault="005D1744" w:rsidP="000170DC">
            <w:pPr>
              <w:spacing w:after="0"/>
              <w:jc w:val="both"/>
              <w:rPr>
                <w:rFonts w:cstheme="minorHAnsi"/>
                <w:sz w:val="20"/>
                <w:szCs w:val="20"/>
                <w:highlight w:val="red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Dedykowany przez producenta procesora do pracy w serwerach </w:t>
            </w:r>
            <w:r w:rsidRPr="00042B34">
              <w:rPr>
                <w:rFonts w:eastAsia="Times New Roman" w:cstheme="minorHAnsi"/>
                <w:sz w:val="20"/>
                <w:szCs w:val="20"/>
              </w:rPr>
              <w:t>jedno</w:t>
            </w: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procesorowych. </w:t>
            </w:r>
          </w:p>
        </w:tc>
      </w:tr>
      <w:tr w:rsidR="005D1744" w:rsidRPr="00042B34" w14:paraId="3F1DD9C4" w14:textId="7C81BB65" w:rsidTr="00042B34">
        <w:tc>
          <w:tcPr>
            <w:tcW w:w="539" w:type="pct"/>
            <w:shd w:val="pct10" w:color="auto" w:fill="auto"/>
            <w:vAlign w:val="center"/>
          </w:tcPr>
          <w:p w14:paraId="3388289B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756C5A84" w14:textId="3D75B41B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3966FDA8" w14:textId="4A3EE0E5" w:rsidR="005D1744" w:rsidRPr="00042B34" w:rsidRDefault="005D1744" w:rsidP="000170DC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42B34">
              <w:rPr>
                <w:rFonts w:cstheme="minorHAnsi"/>
                <w:bCs/>
                <w:sz w:val="20"/>
                <w:szCs w:val="20"/>
              </w:rPr>
              <w:t>Zainstalowany jeden procesor min. 6-rdzeniowy klasy x86 do pracy z zaoferowanym serwerem umożliwiający osiągnięcie wyniku min. 18500 punktów w</w:t>
            </w:r>
            <w:r w:rsidR="009D142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9D142B" w:rsidRPr="00932987">
              <w:rPr>
                <w:rFonts w:cstheme="minorHAnsi"/>
                <w:bCs/>
                <w:sz w:val="20"/>
                <w:szCs w:val="20"/>
              </w:rPr>
              <w:t>aktualnym</w:t>
            </w:r>
            <w:r w:rsidRPr="00042B34">
              <w:rPr>
                <w:rFonts w:cstheme="minorHAnsi"/>
                <w:bCs/>
                <w:sz w:val="20"/>
                <w:szCs w:val="20"/>
              </w:rPr>
              <w:t xml:space="preserve"> teście CPU </w:t>
            </w:r>
            <w:proofErr w:type="spellStart"/>
            <w:r w:rsidRPr="00042B34">
              <w:rPr>
                <w:rFonts w:cstheme="minorHAnsi"/>
                <w:bCs/>
                <w:sz w:val="20"/>
                <w:szCs w:val="20"/>
              </w:rPr>
              <w:t>Benchmarks</w:t>
            </w:r>
            <w:proofErr w:type="spellEnd"/>
            <w:r w:rsidRPr="00042B34">
              <w:rPr>
                <w:rFonts w:cstheme="minorHAnsi"/>
                <w:bCs/>
                <w:sz w:val="20"/>
                <w:szCs w:val="20"/>
              </w:rPr>
              <w:t xml:space="preserve"> dostępnym na stronie https://www.cpubenchmark.net.</w:t>
            </w:r>
          </w:p>
        </w:tc>
      </w:tr>
      <w:tr w:rsidR="005D1744" w:rsidRPr="00042B34" w14:paraId="63556EA4" w14:textId="2E7E1A07" w:rsidTr="00042B34">
        <w:tc>
          <w:tcPr>
            <w:tcW w:w="539" w:type="pct"/>
            <w:shd w:val="pct10" w:color="auto" w:fill="auto"/>
            <w:vAlign w:val="center"/>
          </w:tcPr>
          <w:p w14:paraId="23536979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3DAA8038" w14:textId="6F4F60AB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RAM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5105B74A" w14:textId="61EFF2CA" w:rsidR="005D1744" w:rsidRPr="00042B34" w:rsidRDefault="005D1744" w:rsidP="000170DC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2x32GB pamięci RAM DDR5 UDIMM o częstotliwości pracy 5600MT/s.</w:t>
            </w:r>
          </w:p>
        </w:tc>
      </w:tr>
      <w:tr w:rsidR="005D1744" w:rsidRPr="00042B34" w14:paraId="0356B4C5" w14:textId="3E08EDEC" w:rsidTr="00042B34">
        <w:trPr>
          <w:trHeight w:val="1544"/>
        </w:trPr>
        <w:tc>
          <w:tcPr>
            <w:tcW w:w="539" w:type="pct"/>
            <w:shd w:val="pct10" w:color="auto" w:fill="auto"/>
            <w:vAlign w:val="center"/>
          </w:tcPr>
          <w:p w14:paraId="50190E46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7F9DAE9A" w14:textId="3793118C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75089710" w14:textId="446F6E47" w:rsidR="005D1744" w:rsidRPr="00042B34" w:rsidRDefault="005D1744" w:rsidP="003F00F0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BaseT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4C01FD14" w14:textId="6E712530" w:rsidR="005D1744" w:rsidRPr="00042B34" w:rsidRDefault="005D1744" w:rsidP="003F00F0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Min. jedna karta czteroportowa 10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Ethernet w standardzie Base-T.</w:t>
            </w:r>
          </w:p>
        </w:tc>
      </w:tr>
      <w:tr w:rsidR="005D1744" w:rsidRPr="00042B34" w14:paraId="3717D0A3" w14:textId="77777777" w:rsidTr="00042B34">
        <w:tc>
          <w:tcPr>
            <w:tcW w:w="539" w:type="pct"/>
            <w:shd w:val="pct10" w:color="auto" w:fill="auto"/>
            <w:vAlign w:val="center"/>
          </w:tcPr>
          <w:p w14:paraId="37A6AABD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0FF0E74F" w14:textId="180F5B89" w:rsidR="005D1744" w:rsidRPr="00042B34" w:rsidRDefault="005D1744" w:rsidP="00AF5CC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Dyski twarde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6BB78C74" w14:textId="05F7CD51" w:rsidR="005D1744" w:rsidRPr="00042B34" w:rsidRDefault="005D1744" w:rsidP="00135B5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Zainstalowane: </w:t>
            </w:r>
          </w:p>
          <w:p w14:paraId="7B9426D0" w14:textId="11D01ECB" w:rsidR="005D1744" w:rsidRPr="00042B34" w:rsidRDefault="005D1744" w:rsidP="003F00F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2 dyski SSD SATA  o pojemności min. 960GB skonfigurowane fabrycznie w RAID 1.</w:t>
            </w:r>
          </w:p>
          <w:p w14:paraId="27E68297" w14:textId="0B713A24" w:rsidR="005D1744" w:rsidRPr="00042B34" w:rsidRDefault="005D1744" w:rsidP="003F00F0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2 dyski hot-</w:t>
            </w:r>
            <w:proofErr w:type="spellStart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swap</w:t>
            </w:r>
            <w:proofErr w:type="spellEnd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M.2 </w:t>
            </w:r>
            <w:proofErr w:type="spellStart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o pojemności min. 480GB z możliwością konfiguracji RAID 1.</w:t>
            </w:r>
          </w:p>
        </w:tc>
      </w:tr>
      <w:tr w:rsidR="005D1744" w:rsidRPr="00042B34" w14:paraId="0576AD57" w14:textId="77777777" w:rsidTr="00042B34">
        <w:tc>
          <w:tcPr>
            <w:tcW w:w="539" w:type="pct"/>
            <w:shd w:val="pct10" w:color="auto" w:fill="auto"/>
            <w:vAlign w:val="center"/>
          </w:tcPr>
          <w:p w14:paraId="27ABC1C7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0335AA7E" w14:textId="3D01A504" w:rsidR="005D1744" w:rsidRPr="00042B34" w:rsidRDefault="005D1744" w:rsidP="00AF5CC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3CDA43EB" w14:textId="4958BA3A" w:rsidR="005D1744" w:rsidRPr="00042B34" w:rsidRDefault="005D1744" w:rsidP="00135B5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Sprzętowy kontroler dyskowy, posiadający możliwość konfiguracji poziomów RAID: 0,1,10.</w:t>
            </w:r>
          </w:p>
        </w:tc>
      </w:tr>
      <w:tr w:rsidR="005D1744" w:rsidRPr="00042B34" w14:paraId="449B5164" w14:textId="4452D77C" w:rsidTr="00042B34">
        <w:tc>
          <w:tcPr>
            <w:tcW w:w="539" w:type="pct"/>
            <w:shd w:val="pct10" w:color="auto" w:fill="auto"/>
            <w:vAlign w:val="center"/>
          </w:tcPr>
          <w:p w14:paraId="40552C87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2E704289" w14:textId="48496759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87DDFBA" w14:textId="0D570390" w:rsidR="005D1744" w:rsidRPr="00042B34" w:rsidRDefault="005D1744" w:rsidP="003F00F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min. 3 porty USB w tym 1 port USB 3.0 z tyłu obudowy,  </w:t>
            </w:r>
          </w:p>
          <w:p w14:paraId="1D78F6A8" w14:textId="4F85164B" w:rsidR="005D1744" w:rsidRPr="00042B34" w:rsidRDefault="005D1744" w:rsidP="003F00F0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1 port VGA na tylnym panelu,  </w:t>
            </w:r>
          </w:p>
        </w:tc>
      </w:tr>
      <w:tr w:rsidR="005D1744" w:rsidRPr="00042B34" w14:paraId="3BBCE9DD" w14:textId="58E701CA" w:rsidTr="00042B34">
        <w:tc>
          <w:tcPr>
            <w:tcW w:w="539" w:type="pct"/>
            <w:shd w:val="pct10" w:color="auto" w:fill="auto"/>
            <w:vAlign w:val="center"/>
          </w:tcPr>
          <w:p w14:paraId="19AE66F2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0B2CD765" w14:textId="346E6A2D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Video</w:t>
            </w:r>
          </w:p>
        </w:tc>
        <w:tc>
          <w:tcPr>
            <w:tcW w:w="3515" w:type="pct"/>
            <w:shd w:val="pct10" w:color="auto" w:fill="auto"/>
          </w:tcPr>
          <w:p w14:paraId="260227C8" w14:textId="6504F5C0" w:rsidR="005D1744" w:rsidRPr="00042B34" w:rsidRDefault="005D1744" w:rsidP="000170DC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Zintegrowana karta graficzna umożliwiająca rozdzielczość min. 1920x1200</w:t>
            </w:r>
          </w:p>
        </w:tc>
      </w:tr>
      <w:tr w:rsidR="005D1744" w:rsidRPr="00042B34" w14:paraId="4C2E8D19" w14:textId="2C4089E5" w:rsidTr="00042B34">
        <w:tc>
          <w:tcPr>
            <w:tcW w:w="539" w:type="pct"/>
            <w:shd w:val="pct10" w:color="auto" w:fill="auto"/>
            <w:vAlign w:val="center"/>
          </w:tcPr>
          <w:p w14:paraId="7EB1BC44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57202FF8" w14:textId="3CBBB3F5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sz w:val="20"/>
                <w:szCs w:val="20"/>
              </w:rPr>
              <w:t>Zasilacze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7B0FEE0" w14:textId="67C6E811" w:rsidR="005D1744" w:rsidRPr="00042B34" w:rsidRDefault="005D1744" w:rsidP="000170DC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Redundantne, o mocy </w:t>
            </w:r>
            <w:r w:rsidR="009D142B">
              <w:rPr>
                <w:rFonts w:cstheme="minorHAnsi"/>
                <w:color w:val="FF0000"/>
                <w:sz w:val="20"/>
                <w:szCs w:val="20"/>
              </w:rPr>
              <w:t>mini</w:t>
            </w:r>
            <w:r w:rsidRPr="00042B34">
              <w:rPr>
                <w:rFonts w:cstheme="minorHAnsi"/>
                <w:sz w:val="20"/>
                <w:szCs w:val="20"/>
              </w:rPr>
              <w:t xml:space="preserve">. 700W klasy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Titanium</w:t>
            </w:r>
            <w:proofErr w:type="spellEnd"/>
          </w:p>
        </w:tc>
      </w:tr>
      <w:tr w:rsidR="005D1744" w:rsidRPr="00042B34" w14:paraId="5BE98762" w14:textId="5A47D510" w:rsidTr="00042B34">
        <w:tc>
          <w:tcPr>
            <w:tcW w:w="539" w:type="pct"/>
            <w:shd w:val="pct10" w:color="auto" w:fill="auto"/>
            <w:vAlign w:val="center"/>
          </w:tcPr>
          <w:p w14:paraId="21B48833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34E03C2B" w14:textId="589CDCDB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A96D426" w14:textId="50A67FD7" w:rsidR="005D1744" w:rsidRPr="00042B34" w:rsidRDefault="005D1744" w:rsidP="003F00F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r w:rsidRPr="00042B34">
              <w:rPr>
                <w:rFonts w:cstheme="minorHAnsi"/>
                <w:bCs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042B34">
              <w:rPr>
                <w:rFonts w:cstheme="minorHAnsi"/>
                <w:bCs/>
                <w:sz w:val="20"/>
                <w:szCs w:val="20"/>
              </w:rPr>
              <w:t>panela</w:t>
            </w:r>
            <w:proofErr w:type="spellEnd"/>
            <w:r w:rsidRPr="00042B34">
              <w:rPr>
                <w:rFonts w:cstheme="minorHAnsi"/>
                <w:bCs/>
                <w:sz w:val="20"/>
                <w:szCs w:val="20"/>
              </w:rPr>
              <w:t xml:space="preserve"> zamykana na klucz służąca do ochrony nieautoryzowanego dostępu do dysków twardych.  </w:t>
            </w:r>
          </w:p>
          <w:p w14:paraId="775580A8" w14:textId="2A8360DC" w:rsidR="005D1744" w:rsidRPr="00042B34" w:rsidRDefault="005D1744" w:rsidP="003F00F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r w:rsidRPr="00042B34">
              <w:rPr>
                <w:rFonts w:cstheme="minorHAnsi"/>
                <w:bCs/>
                <w:sz w:val="20"/>
                <w:szCs w:val="20"/>
              </w:rPr>
              <w:t xml:space="preserve">Wbudowany czujnik otwarcia obudowy współpracujący z BIOS i kartą zarządzającą.  </w:t>
            </w:r>
          </w:p>
          <w:p w14:paraId="2324F576" w14:textId="582EB0EE" w:rsidR="005D1744" w:rsidRPr="00042B34" w:rsidRDefault="005D1744" w:rsidP="003F00F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r w:rsidRPr="00042B34">
              <w:rPr>
                <w:rFonts w:cstheme="minorHAnsi"/>
                <w:bCs/>
                <w:sz w:val="20"/>
                <w:szCs w:val="20"/>
              </w:rPr>
              <w:t>Moduł TPM 2.0 </w:t>
            </w:r>
          </w:p>
        </w:tc>
      </w:tr>
      <w:tr w:rsidR="005D1744" w:rsidRPr="00042B34" w14:paraId="363163A3" w14:textId="0C7F6C80" w:rsidTr="00042B34">
        <w:tc>
          <w:tcPr>
            <w:tcW w:w="539" w:type="pct"/>
            <w:shd w:val="pct10" w:color="auto" w:fill="auto"/>
            <w:vAlign w:val="center"/>
          </w:tcPr>
          <w:p w14:paraId="2FE3BE4D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57607A60" w14:textId="31B10F44" w:rsidR="005D1744" w:rsidRPr="00042B34" w:rsidRDefault="005D1744" w:rsidP="00BC50A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42B34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3515" w:type="pct"/>
            <w:shd w:val="pct10" w:color="auto" w:fill="auto"/>
          </w:tcPr>
          <w:p w14:paraId="33764C32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Zainstalowana niezależna karta zarządzająca od zainstalowanego na serwerze systemu operacyjnego posiadająca dedykowany port Gigabit Ethernet RJ-45 i umożliwiająca: </w:t>
            </w:r>
          </w:p>
          <w:p w14:paraId="5C55F580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8B81972" w14:textId="5001056D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zdalny dostęp do graficznego interfejsu Web karty zarządzającej; </w:t>
            </w:r>
          </w:p>
          <w:p w14:paraId="79B52478" w14:textId="050CA70F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zdalne monitorowanie i informowanie o statusie serwera (m.in. prędkości obrotowej wentylatorów, konfiguracji serwera); </w:t>
            </w:r>
          </w:p>
          <w:p w14:paraId="35450BAD" w14:textId="3B637B80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szyfrowane połączenie (TLS) oraz autentykacje i autoryzację użytkownika; </w:t>
            </w:r>
          </w:p>
          <w:p w14:paraId="34DDBDE5" w14:textId="389D658B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podmontowania zdalnych wirtualnych napędów; </w:t>
            </w:r>
          </w:p>
          <w:p w14:paraId="39CAD00F" w14:textId="31D485DD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wirtualną konsolę z dostępem do myszy, klawiatury; </w:t>
            </w:r>
          </w:p>
          <w:p w14:paraId="349CAF6F" w14:textId="3ADA598F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wsparcie dla IPv6; </w:t>
            </w:r>
          </w:p>
          <w:p w14:paraId="7A0302F2" w14:textId="71BFF586" w:rsidR="005D1744" w:rsidRPr="009D142B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9D142B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9D142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9D142B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 </w:t>
            </w:r>
          </w:p>
          <w:p w14:paraId="60950502" w14:textId="01D1A1E9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lastRenderedPageBreak/>
              <w:t xml:space="preserve">możliwość zdalnego monitorowania w czasie rzeczywistym poboru prądu przez serwer; </w:t>
            </w:r>
          </w:p>
          <w:p w14:paraId="4FEE0ABF" w14:textId="5B01C5CD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zdalnego ustawienia limitu poboru prądu przez konkretny serwer; </w:t>
            </w:r>
          </w:p>
          <w:p w14:paraId="7A1F263D" w14:textId="5F165B21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integracja z Active Directory; </w:t>
            </w:r>
          </w:p>
          <w:p w14:paraId="180ADEBC" w14:textId="6B1DD9AF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obsługi przez dwóch administratorów jednocześnie; </w:t>
            </w:r>
          </w:p>
          <w:p w14:paraId="740F8D6A" w14:textId="28D59E62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wsparcie dla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dynamic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DNS; </w:t>
            </w:r>
          </w:p>
          <w:p w14:paraId="13B1016A" w14:textId="696B255C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wysyłanie do administratora maila z powiadomieniem o awarii lub zmianie konfiguracji sprzętowej. </w:t>
            </w:r>
          </w:p>
          <w:p w14:paraId="088FF430" w14:textId="44246AD7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bezpośredniego zarządzania poprzez dedykowany port USB na przednim panelu serwera </w:t>
            </w:r>
          </w:p>
          <w:p w14:paraId="15977D27" w14:textId="56792572" w:rsidR="005D1744" w:rsidRPr="00042B34" w:rsidRDefault="005D1744" w:rsidP="003F00F0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zarządzania do 100 serwerów bezpośrednio z konsoli karty zarządzającej pojedynczego serwera </w:t>
            </w:r>
          </w:p>
          <w:p w14:paraId="6FA8FEFB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14ADDC4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oraz z możliwością rozszerzenia funkcjonalności o: </w:t>
            </w:r>
          </w:p>
          <w:p w14:paraId="702A8855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ABD26CE" w14:textId="7E7E40F7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Wirtualny schowek ułatwiający korzystanie z konsoli zdalnej </w:t>
            </w:r>
          </w:p>
          <w:p w14:paraId="3586857A" w14:textId="1E20D8EE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Przesyłanie danych telemetrycznych w czasie rzeczywistym </w:t>
            </w:r>
          </w:p>
          <w:p w14:paraId="04BB6E98" w14:textId="3F175758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Dostosowanie zarządzania temperaturą i przepływem powietrza w serwerze </w:t>
            </w:r>
          </w:p>
          <w:p w14:paraId="258E6575" w14:textId="423AB9D9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Automatyczna rejestracja certyfikatów (ACE) </w:t>
            </w:r>
          </w:p>
          <w:p w14:paraId="62D701BC" w14:textId="0ECC2834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wysyłania danych o stanie procesora, kart sieciowych, zasilaczy, kart GPU,  lokalnych dysków i urządzeń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>, jak również dane wydajnościowe serwera do zewnętrznych.</w:t>
            </w:r>
          </w:p>
          <w:p w14:paraId="6D6A6708" w14:textId="39F0D3B6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kontrola stanu BIOS pod kątem naruszenia integralności oprogramowania</w:t>
            </w:r>
          </w:p>
          <w:p w14:paraId="25FF80AA" w14:textId="57DCA330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Automatyczne odświeżanie certyfikatów SSL</w:t>
            </w:r>
          </w:p>
          <w:p w14:paraId="55F7BCD1" w14:textId="033D9816" w:rsidR="005D1744" w:rsidRPr="00042B34" w:rsidRDefault="005D1744" w:rsidP="003F00F0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wykorzystania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tokenu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lub aplikacji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SecurID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do uwierzytelniania wielkoskładnikowego przy logowaniu do karty zarządzającej</w:t>
            </w:r>
          </w:p>
          <w:p w14:paraId="1C138D92" w14:textId="3ED2FFAF" w:rsidR="005D1744" w:rsidRPr="00042B34" w:rsidRDefault="005D1744" w:rsidP="003F00F0">
            <w:pPr>
              <w:pStyle w:val="Akapitzlist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modyfikacji reguł chłodzenia kart w slotach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>, z możliwością własnych ustawień</w:t>
            </w:r>
          </w:p>
          <w:p w14:paraId="352AE63E" w14:textId="229FD15F" w:rsidR="005D1744" w:rsidRPr="00042B34" w:rsidRDefault="005D1744" w:rsidP="003F00F0">
            <w:pPr>
              <w:pStyle w:val="Akapitzlist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możliwość ustawienia limitu temperatury powietrza wychodzącego z serwera</w:t>
            </w:r>
          </w:p>
          <w:p w14:paraId="49CFA7F2" w14:textId="112BBC6D" w:rsidR="005D1744" w:rsidRPr="00042B34" w:rsidRDefault="005D1744" w:rsidP="003F00F0">
            <w:pPr>
              <w:pStyle w:val="Akapitzlist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możliwość ustawienia dopuszczalnego wzrostu temperatury powietrza przepływającego przez serwer</w:t>
            </w:r>
          </w:p>
          <w:p w14:paraId="3E6ADD6F" w14:textId="166CD2B4" w:rsidR="005D1744" w:rsidRPr="00042B34" w:rsidRDefault="005D1744" w:rsidP="003F00F0">
            <w:pPr>
              <w:pStyle w:val="Akapitzlist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możliwość ustawienia maksymalnej temperatury powietrza dochodzącego do slotów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PCIe</w:t>
            </w:r>
            <w:proofErr w:type="spellEnd"/>
          </w:p>
          <w:p w14:paraId="24BDC218" w14:textId="6638955C" w:rsidR="005D1744" w:rsidRPr="00042B34" w:rsidRDefault="005D1744" w:rsidP="003F00F0">
            <w:pPr>
              <w:pStyle w:val="Akapitzlist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monitorowanie przepływu powietrza na bieżąco</w:t>
            </w:r>
          </w:p>
          <w:p w14:paraId="1ECBD33C" w14:textId="77777777" w:rsidR="005D1744" w:rsidRPr="00042B34" w:rsidRDefault="005D1744" w:rsidP="00135B56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50A4622" w14:textId="641BEE09" w:rsidR="005D1744" w:rsidRPr="00042B34" w:rsidRDefault="005D1744" w:rsidP="00932987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D1744" w:rsidRPr="009D142B" w14:paraId="7510B5AA" w14:textId="77777777" w:rsidTr="00042B34">
        <w:tc>
          <w:tcPr>
            <w:tcW w:w="539" w:type="pct"/>
            <w:shd w:val="pct10" w:color="auto" w:fill="auto"/>
            <w:vAlign w:val="center"/>
          </w:tcPr>
          <w:p w14:paraId="0FCA41F3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MS Mincho" w:cstheme="minorHAnsi"/>
                <w:sz w:val="20"/>
                <w:szCs w:val="20"/>
                <w:lang w:eastAsia="ja-JP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5D50B954" w14:textId="46265DC3" w:rsidR="005D1744" w:rsidRPr="00042B34" w:rsidRDefault="005D1744" w:rsidP="00BC50A7">
            <w:pPr>
              <w:spacing w:after="0"/>
              <w:jc w:val="center"/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</w:pPr>
            <w:r w:rsidRPr="00042B34"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  <w:t>System operacyjny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4105003" w14:textId="7EFA58EC" w:rsidR="005D1744" w:rsidRPr="00042B34" w:rsidRDefault="005D1744" w:rsidP="00135B56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1 x Windows Server 2025 Standard</w:t>
            </w:r>
          </w:p>
          <w:p w14:paraId="58149E8D" w14:textId="77777777" w:rsidR="005D1744" w:rsidRPr="00042B34" w:rsidRDefault="005D1744" w:rsidP="00135B56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Licencja musi uprawniać do uruchamiania serwerowego systemu operacyjnego w środowisku fizycznym jednego serwera i dwóch wirtualnych środowisk serwerowego systemu operacyjnego.</w:t>
            </w:r>
          </w:p>
          <w:p w14:paraId="7CE2B23D" w14:textId="7A176170" w:rsidR="005D1744" w:rsidRPr="009D142B" w:rsidRDefault="005D1744" w:rsidP="00CA59DB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25 x Windows Server 2025/2022 User CALs </w:t>
            </w:r>
          </w:p>
        </w:tc>
      </w:tr>
      <w:tr w:rsidR="005D1744" w:rsidRPr="009D142B" w14:paraId="08720A7C" w14:textId="77777777" w:rsidTr="00042B34">
        <w:tc>
          <w:tcPr>
            <w:tcW w:w="539" w:type="pct"/>
            <w:shd w:val="pct10" w:color="auto" w:fill="auto"/>
            <w:vAlign w:val="center"/>
          </w:tcPr>
          <w:p w14:paraId="76839FCF" w14:textId="77777777" w:rsidR="005D1744" w:rsidRPr="009D142B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MS Mincho" w:cstheme="minorHAnsi"/>
                <w:sz w:val="20"/>
                <w:szCs w:val="20"/>
                <w:lang w:val="en-US" w:eastAsia="ja-JP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3296BFF0" w14:textId="23DF265B" w:rsidR="005D1744" w:rsidRPr="00042B34" w:rsidRDefault="005D1744" w:rsidP="00A14C81">
            <w:pPr>
              <w:spacing w:after="0"/>
              <w:jc w:val="center"/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</w:pPr>
            <w:r w:rsidRPr="00042B34"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  <w:t>Certyfikaty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7D0AA0EF" w14:textId="0C05539D" w:rsidR="005D1744" w:rsidRPr="00042B34" w:rsidRDefault="005D1744" w:rsidP="003F00F0">
            <w:pPr>
              <w:pStyle w:val="Akapitzlist"/>
              <w:numPr>
                <w:ilvl w:val="0"/>
                <w:numId w:val="13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Serwer musi być wyprodukowany zgodnie z normą ISO-9001:2015, ISO-50001 oraz ISO-14001 </w:t>
            </w:r>
          </w:p>
          <w:p w14:paraId="1BCCDA40" w14:textId="289A99DF" w:rsidR="005D1744" w:rsidRPr="00042B34" w:rsidRDefault="005D1744" w:rsidP="003F00F0">
            <w:pPr>
              <w:pStyle w:val="Akapitzlist"/>
              <w:numPr>
                <w:ilvl w:val="0"/>
                <w:numId w:val="13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Serwer musi posiadać deklaracja CE. </w:t>
            </w:r>
          </w:p>
          <w:p w14:paraId="1CDD929B" w14:textId="146BD592" w:rsidR="005D1744" w:rsidRPr="00042B34" w:rsidRDefault="005D1744" w:rsidP="003F00F0">
            <w:pPr>
              <w:pStyle w:val="Akapitzlist"/>
              <w:numPr>
                <w:ilvl w:val="0"/>
                <w:numId w:val="13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rozporządzenia nr 1272/2008WE. Produkty muszą składać się z co najmniej w 65% ze składników wielokrotnego użytku/zdatnych do recyklingu. We wszystkich produktach części tworzyw sztucznych większe niż 25-gramowe powinny zawierać nie więcej niż </w:t>
            </w: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 xml:space="preserve">śladowe ilości środków zmniejszających palność sklasyfikowanych w dyrektywie RE 67/548/EEC. Potwierdzeniem spełnienia powyższego wymogu jest wydruk ze strony internetowej www.epeat.net potwierdzający spełnienie normy co najmniej </w:t>
            </w:r>
            <w:proofErr w:type="spellStart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Silver według normy wprowadzonej w 2019 roku - Wykonawca złoży dokument potwierdzający spełnianie wymogu. </w:t>
            </w:r>
          </w:p>
          <w:p w14:paraId="5C4E17DA" w14:textId="3BA57934" w:rsidR="005D1744" w:rsidRPr="009D142B" w:rsidRDefault="005D1744" w:rsidP="003F00F0">
            <w:pPr>
              <w:pStyle w:val="Akapitzlist"/>
              <w:numPr>
                <w:ilvl w:val="0"/>
                <w:numId w:val="13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Windows Server Catalog i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9D142B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 2025.</w:t>
            </w:r>
          </w:p>
        </w:tc>
      </w:tr>
      <w:tr w:rsidR="005D1744" w:rsidRPr="00042B34" w14:paraId="71E29FE4" w14:textId="77777777" w:rsidTr="00042B34">
        <w:tc>
          <w:tcPr>
            <w:tcW w:w="539" w:type="pct"/>
            <w:shd w:val="pct10" w:color="auto" w:fill="auto"/>
            <w:vAlign w:val="center"/>
          </w:tcPr>
          <w:p w14:paraId="1A08EB80" w14:textId="77777777" w:rsidR="005D1744" w:rsidRPr="009D142B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MS Mincho" w:cstheme="minorHAnsi"/>
                <w:sz w:val="20"/>
                <w:szCs w:val="20"/>
                <w:lang w:val="en-US" w:eastAsia="ja-JP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633F46AB" w14:textId="09CACE4E" w:rsidR="005D1744" w:rsidRPr="00042B34" w:rsidRDefault="005D1744" w:rsidP="00A14C81">
            <w:pPr>
              <w:spacing w:after="0"/>
              <w:jc w:val="center"/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</w:pPr>
            <w:r w:rsidRPr="00042B34"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  <w:t>Warunki gwarancji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4678813D" w14:textId="79C34981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wymaga min. 60 miesięcy gwarancji producenta możliwości zgłaszania zdarzeń serwisowych w trybie 24/7/365  następującymi kanałami: telefonicznie, przez Internet oraz z wykorzystaniem aplikacji. </w:t>
            </w:r>
          </w:p>
          <w:p w14:paraId="1802DB00" w14:textId="77777777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wykonawcy.</w:t>
            </w:r>
          </w:p>
          <w:p w14:paraId="409860AC" w14:textId="77777777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30C17FE0" w14:textId="77777777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Zgłoszenie przyjęte jest potwierdzane przez zespół pomocy technicznej  (mail/telefon / aplikacja / portal) przez nadanie unikalnego numeru zgłoszenia pozwalającego na identyfikację zgłoszenia w trakcie realizacji naprawy i po jej zakończeniu.</w:t>
            </w:r>
          </w:p>
          <w:p w14:paraId="0A53829B" w14:textId="77777777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0AD4B402" w14:textId="5FFEC850" w:rsidR="005D1744" w:rsidRPr="00042B34" w:rsidRDefault="005D1744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wymaga od podmiotu realizującego serwis lub producenta sprzętu, że w przypadku wystąpienia awarii dysku twardego w urządzeniu objętym aktywnym wparciem technicznym, uszkodzony dysk twardy pozostaje u Zamawiającego. </w:t>
            </w:r>
          </w:p>
          <w:p w14:paraId="0D86FEAB" w14:textId="1A095338" w:rsidR="005D1744" w:rsidRPr="00042B34" w:rsidRDefault="00F2213B" w:rsidP="00996E80">
            <w:p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</w:t>
            </w:r>
            <w:r w:rsidR="005D1744"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przęt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 </w:t>
            </w:r>
            <w:r w:rsidR="005D1744"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pochodzi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ć</w:t>
            </w:r>
            <w:r w:rsidR="005D1744"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 oficjalnego kanału dystrybucyjnego producenta.</w:t>
            </w:r>
          </w:p>
        </w:tc>
      </w:tr>
      <w:tr w:rsidR="005D1744" w:rsidRPr="00042B34" w14:paraId="4E4FE999" w14:textId="77777777" w:rsidTr="00042B34">
        <w:tc>
          <w:tcPr>
            <w:tcW w:w="539" w:type="pct"/>
            <w:shd w:val="pct10" w:color="auto" w:fill="auto"/>
            <w:vAlign w:val="center"/>
          </w:tcPr>
          <w:p w14:paraId="48133F74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MS Mincho" w:cstheme="minorHAnsi"/>
                <w:sz w:val="20"/>
                <w:szCs w:val="20"/>
                <w:lang w:eastAsia="ja-JP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25761158" w14:textId="38D7033C" w:rsidR="005D1744" w:rsidRPr="00042B34" w:rsidRDefault="005D1744" w:rsidP="00A14C81">
            <w:pPr>
              <w:spacing w:after="0"/>
              <w:jc w:val="center"/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</w:pPr>
            <w:r w:rsidRPr="00042B34"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  <w:t>Dokumentacja użytkownika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20D71CB0" w14:textId="1082CE24" w:rsidR="005D1744" w:rsidRPr="00042B34" w:rsidRDefault="005D1744" w:rsidP="003F00F0">
            <w:pPr>
              <w:pStyle w:val="Akapitzlist"/>
              <w:numPr>
                <w:ilvl w:val="0"/>
                <w:numId w:val="14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wymaga dokumentacji w języku polskim lub angielskim. </w:t>
            </w:r>
          </w:p>
          <w:p w14:paraId="3D842C65" w14:textId="55A728B4" w:rsidR="005D1744" w:rsidRPr="00042B34" w:rsidRDefault="005D1744" w:rsidP="003F00F0">
            <w:pPr>
              <w:pStyle w:val="Akapitzlist"/>
              <w:numPr>
                <w:ilvl w:val="0"/>
                <w:numId w:val="14"/>
              </w:numPr>
              <w:spacing w:line="252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42B34">
              <w:rPr>
                <w:rFonts w:eastAsia="Times New Roman" w:cstheme="minorHAnsi"/>
                <w:color w:val="000000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5D1744" w:rsidRPr="00042B34" w14:paraId="27C52179" w14:textId="77777777" w:rsidTr="00042B34">
        <w:tc>
          <w:tcPr>
            <w:tcW w:w="539" w:type="pct"/>
            <w:shd w:val="pct10" w:color="auto" w:fill="auto"/>
            <w:vAlign w:val="center"/>
          </w:tcPr>
          <w:p w14:paraId="1642248A" w14:textId="77777777" w:rsidR="005D1744" w:rsidRPr="00042B34" w:rsidRDefault="005D1744" w:rsidP="003F00F0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MS Mincho" w:cstheme="minorHAnsi"/>
                <w:sz w:val="20"/>
                <w:szCs w:val="20"/>
                <w:lang w:eastAsia="ja-JP"/>
              </w:rPr>
            </w:pPr>
          </w:p>
        </w:tc>
        <w:tc>
          <w:tcPr>
            <w:tcW w:w="946" w:type="pct"/>
            <w:shd w:val="pct10" w:color="auto" w:fill="auto"/>
            <w:vAlign w:val="center"/>
          </w:tcPr>
          <w:p w14:paraId="028070BE" w14:textId="73331FA4" w:rsidR="005D1744" w:rsidRPr="00042B34" w:rsidRDefault="005D1744" w:rsidP="00A14C81">
            <w:pPr>
              <w:spacing w:after="0"/>
              <w:jc w:val="center"/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</w:pPr>
            <w:r w:rsidRPr="00042B34">
              <w:rPr>
                <w:rFonts w:eastAsia="MS Mincho" w:cstheme="minorHAnsi"/>
                <w:b/>
                <w:bCs/>
                <w:sz w:val="20"/>
                <w:szCs w:val="20"/>
                <w:lang w:eastAsia="ja-JP"/>
              </w:rPr>
              <w:t>UPS</w:t>
            </w:r>
          </w:p>
        </w:tc>
        <w:tc>
          <w:tcPr>
            <w:tcW w:w="3515" w:type="pct"/>
            <w:shd w:val="pct10" w:color="auto" w:fill="auto"/>
            <w:vAlign w:val="center"/>
          </w:tcPr>
          <w:p w14:paraId="50A1E085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Minimalne parametry techniczne urządzenia:</w:t>
            </w:r>
          </w:p>
          <w:p w14:paraId="6D2F25AE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1. Typ obudowy: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>.</w:t>
            </w:r>
          </w:p>
          <w:p w14:paraId="44C57C79" w14:textId="4BDB702E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2. Moc pozorna: min. 2000 VA.</w:t>
            </w:r>
          </w:p>
          <w:p w14:paraId="6744F5F6" w14:textId="03A1C4B0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3. Moc rzeczywista: min. 2000 Wat.</w:t>
            </w:r>
          </w:p>
          <w:p w14:paraId="5B9CCD8F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4. Architektura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UPSa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042B34">
              <w:rPr>
                <w:rFonts w:cstheme="minorHAnsi"/>
                <w:sz w:val="20"/>
                <w:szCs w:val="20"/>
              </w:rPr>
              <w:t>line-interactive</w:t>
            </w:r>
            <w:proofErr w:type="spellEnd"/>
            <w:r w:rsidRPr="00042B34">
              <w:rPr>
                <w:rFonts w:cstheme="minorHAnsi"/>
                <w:sz w:val="20"/>
                <w:szCs w:val="20"/>
              </w:rPr>
              <w:t xml:space="preserve"> .</w:t>
            </w:r>
          </w:p>
          <w:p w14:paraId="2986D612" w14:textId="4BE2B7C6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5. Liczba i rodzaj gniazdek z utrzymaniem zasilania: minimum 8 gniazd z podtrzymaniem).</w:t>
            </w:r>
          </w:p>
          <w:p w14:paraId="34CF3254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6. Zabezpieczenie wejściowe: Przeciwzwarciowe – Bezpiecznik automatyczny.</w:t>
            </w:r>
          </w:p>
          <w:p w14:paraId="0BCA866D" w14:textId="5303B4D5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 xml:space="preserve">7. Czas podtrzymania dla obciążenia 100%: min. </w:t>
            </w:r>
            <w:r w:rsidR="00BA4B33" w:rsidRPr="00042B34">
              <w:rPr>
                <w:rFonts w:cstheme="minorHAnsi"/>
                <w:sz w:val="20"/>
                <w:szCs w:val="20"/>
              </w:rPr>
              <w:t>6</w:t>
            </w:r>
            <w:r w:rsidRPr="00042B34">
              <w:rPr>
                <w:rFonts w:cstheme="minorHAnsi"/>
                <w:sz w:val="20"/>
                <w:szCs w:val="20"/>
              </w:rPr>
              <w:t xml:space="preserve"> min.</w:t>
            </w:r>
          </w:p>
          <w:p w14:paraId="7393C921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8.</w:t>
            </w:r>
            <w:r w:rsidRPr="00042B34">
              <w:rPr>
                <w:rFonts w:cstheme="minorHAnsi"/>
              </w:rPr>
              <w:t xml:space="preserve">  Sygnalizacja a</w:t>
            </w:r>
            <w:r w:rsidRPr="00042B34">
              <w:rPr>
                <w:rFonts w:cstheme="minorHAnsi"/>
                <w:sz w:val="20"/>
                <w:szCs w:val="20"/>
              </w:rPr>
              <w:t>kustyczno – optyczna; graficzny wyświetlacz LCD</w:t>
            </w:r>
          </w:p>
          <w:p w14:paraId="0797E669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9. Funkcja zimny start.</w:t>
            </w:r>
          </w:p>
          <w:p w14:paraId="696F0184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10. Układ automatycznej regulacji napięcia (AVR).</w:t>
            </w:r>
          </w:p>
          <w:p w14:paraId="629A07B5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11. Funkcja awaryjnego wyłączania EPO.</w:t>
            </w:r>
          </w:p>
          <w:p w14:paraId="4A269407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lastRenderedPageBreak/>
              <w:t>12. Wyświetlacz LCD.</w:t>
            </w:r>
          </w:p>
          <w:p w14:paraId="4509B240" w14:textId="4F80CF23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13. Interfejsy: min. 1 x USB,</w:t>
            </w:r>
          </w:p>
          <w:p w14:paraId="200815B2" w14:textId="77777777" w:rsidR="005D1744" w:rsidRPr="00042B34" w:rsidRDefault="005D1744" w:rsidP="00B2210F">
            <w:pPr>
              <w:rPr>
                <w:rFonts w:cstheme="minorHAnsi"/>
                <w:sz w:val="20"/>
                <w:szCs w:val="20"/>
              </w:rPr>
            </w:pPr>
            <w:r w:rsidRPr="00042B34">
              <w:rPr>
                <w:rFonts w:cstheme="minorHAnsi"/>
                <w:sz w:val="20"/>
                <w:szCs w:val="20"/>
              </w:rPr>
              <w:t>14. Oprogramowanie do monitorowania i zarządzania stanem zasilania. Powiadomienie o alertach zasilania, zdalny dostęp do informacji o zasilaniu, w tym stanu baterii, poziomów obciążenia i informacji o czasie działania. Rejestrowanie zdarzeń, raporty i analizy.</w:t>
            </w:r>
          </w:p>
          <w:p w14:paraId="1471DBC1" w14:textId="77777777" w:rsidR="005D1744" w:rsidRPr="00042B34" w:rsidRDefault="005D1744" w:rsidP="00B2210F">
            <w:pPr>
              <w:pStyle w:val="Akapitzlist"/>
              <w:spacing w:line="252" w:lineRule="auto"/>
              <w:ind w:left="360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14:paraId="6CA9E5D9" w14:textId="315A5421" w:rsidR="00C212E1" w:rsidRPr="00042B34" w:rsidRDefault="00C212E1" w:rsidP="00BE1C8A">
      <w:pPr>
        <w:rPr>
          <w:rFonts w:cstheme="minorHAnsi"/>
          <w:sz w:val="20"/>
          <w:szCs w:val="20"/>
        </w:rPr>
      </w:pPr>
    </w:p>
    <w:sectPr w:rsidR="00C212E1" w:rsidRPr="00042B34" w:rsidSect="00BE1C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2683C" w14:textId="77777777" w:rsidR="000F6421" w:rsidRDefault="000F6421" w:rsidP="00BD0FD9">
      <w:pPr>
        <w:spacing w:after="0" w:line="240" w:lineRule="auto"/>
      </w:pPr>
      <w:r>
        <w:separator/>
      </w:r>
    </w:p>
  </w:endnote>
  <w:endnote w:type="continuationSeparator" w:id="0">
    <w:p w14:paraId="6F56D74C" w14:textId="77777777" w:rsidR="000F6421" w:rsidRDefault="000F6421" w:rsidP="00BD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E9E6D" w14:textId="77777777" w:rsidR="000F6421" w:rsidRDefault="000F6421" w:rsidP="00BD0FD9">
      <w:pPr>
        <w:spacing w:after="0" w:line="240" w:lineRule="auto"/>
      </w:pPr>
      <w:r>
        <w:separator/>
      </w:r>
    </w:p>
  </w:footnote>
  <w:footnote w:type="continuationSeparator" w:id="0">
    <w:p w14:paraId="78E50B74" w14:textId="77777777" w:rsidR="000F6421" w:rsidRDefault="000F6421" w:rsidP="00BD0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F34E9"/>
    <w:multiLevelType w:val="hybridMultilevel"/>
    <w:tmpl w:val="2BB414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275367"/>
    <w:multiLevelType w:val="hybridMultilevel"/>
    <w:tmpl w:val="DD92B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BC66BB"/>
    <w:multiLevelType w:val="hybridMultilevel"/>
    <w:tmpl w:val="A37449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AC4789"/>
    <w:multiLevelType w:val="hybridMultilevel"/>
    <w:tmpl w:val="3550A78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C74003"/>
    <w:multiLevelType w:val="hybridMultilevel"/>
    <w:tmpl w:val="FC641BE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A46097"/>
    <w:multiLevelType w:val="hybridMultilevel"/>
    <w:tmpl w:val="BE5414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BE0BB4"/>
    <w:multiLevelType w:val="hybridMultilevel"/>
    <w:tmpl w:val="3D08B74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516981"/>
    <w:multiLevelType w:val="hybridMultilevel"/>
    <w:tmpl w:val="B044B11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39694A"/>
    <w:multiLevelType w:val="hybridMultilevel"/>
    <w:tmpl w:val="0E9613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E84738"/>
    <w:multiLevelType w:val="hybridMultilevel"/>
    <w:tmpl w:val="084A3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8C3F07"/>
    <w:multiLevelType w:val="hybridMultilevel"/>
    <w:tmpl w:val="5538A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E75D18"/>
    <w:multiLevelType w:val="hybridMultilevel"/>
    <w:tmpl w:val="F626BC52"/>
    <w:lvl w:ilvl="0" w:tplc="42D676EE">
      <w:start w:val="1"/>
      <w:numFmt w:val="decimal"/>
      <w:lvlText w:val="%1."/>
      <w:lvlJc w:val="center"/>
      <w:pPr>
        <w:ind w:left="360" w:firstLine="37"/>
      </w:pPr>
      <w:rPr>
        <w:rFonts w:hint="default"/>
        <w:b/>
        <w:bCs/>
      </w:rPr>
    </w:lvl>
    <w:lvl w:ilvl="1" w:tplc="31BC4EF0">
      <w:start w:val="2"/>
      <w:numFmt w:val="bullet"/>
      <w:lvlText w:val="•"/>
      <w:lvlJc w:val="left"/>
      <w:pPr>
        <w:ind w:left="808" w:hanging="72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2" w15:restartNumberingAfterBreak="0">
    <w:nsid w:val="7548213F"/>
    <w:multiLevelType w:val="hybridMultilevel"/>
    <w:tmpl w:val="7240A10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834CC8"/>
    <w:multiLevelType w:val="hybridMultilevel"/>
    <w:tmpl w:val="D744D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9421248">
    <w:abstractNumId w:val="11"/>
  </w:num>
  <w:num w:numId="2" w16cid:durableId="190533205">
    <w:abstractNumId w:val="9"/>
  </w:num>
  <w:num w:numId="3" w16cid:durableId="1093861804">
    <w:abstractNumId w:val="5"/>
  </w:num>
  <w:num w:numId="4" w16cid:durableId="999117592">
    <w:abstractNumId w:val="1"/>
  </w:num>
  <w:num w:numId="5" w16cid:durableId="853493875">
    <w:abstractNumId w:val="2"/>
  </w:num>
  <w:num w:numId="6" w16cid:durableId="365101972">
    <w:abstractNumId w:val="10"/>
  </w:num>
  <w:num w:numId="7" w16cid:durableId="1151950162">
    <w:abstractNumId w:val="8"/>
  </w:num>
  <w:num w:numId="8" w16cid:durableId="1697072179">
    <w:abstractNumId w:val="3"/>
  </w:num>
  <w:num w:numId="9" w16cid:durableId="317267267">
    <w:abstractNumId w:val="7"/>
  </w:num>
  <w:num w:numId="10" w16cid:durableId="1127627155">
    <w:abstractNumId w:val="12"/>
  </w:num>
  <w:num w:numId="11" w16cid:durableId="191697995">
    <w:abstractNumId w:val="4"/>
  </w:num>
  <w:num w:numId="12" w16cid:durableId="1236551389">
    <w:abstractNumId w:val="6"/>
  </w:num>
  <w:num w:numId="13" w16cid:durableId="492530878">
    <w:abstractNumId w:val="0"/>
  </w:num>
  <w:num w:numId="14" w16cid:durableId="3369623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D9"/>
    <w:rsid w:val="000170DC"/>
    <w:rsid w:val="00023404"/>
    <w:rsid w:val="00023688"/>
    <w:rsid w:val="00031F2D"/>
    <w:rsid w:val="00034F19"/>
    <w:rsid w:val="000412E9"/>
    <w:rsid w:val="00042B34"/>
    <w:rsid w:val="00070710"/>
    <w:rsid w:val="00080B1D"/>
    <w:rsid w:val="000A2F15"/>
    <w:rsid w:val="000C216E"/>
    <w:rsid w:val="000C48D8"/>
    <w:rsid w:val="000E62B8"/>
    <w:rsid w:val="000F54AA"/>
    <w:rsid w:val="000F6421"/>
    <w:rsid w:val="001038FE"/>
    <w:rsid w:val="0010697F"/>
    <w:rsid w:val="001072AD"/>
    <w:rsid w:val="00107732"/>
    <w:rsid w:val="001316B4"/>
    <w:rsid w:val="00135B56"/>
    <w:rsid w:val="00147F3C"/>
    <w:rsid w:val="00167BC3"/>
    <w:rsid w:val="00170C87"/>
    <w:rsid w:val="00171D84"/>
    <w:rsid w:val="001776F4"/>
    <w:rsid w:val="001D5D72"/>
    <w:rsid w:val="001E17A5"/>
    <w:rsid w:val="00202365"/>
    <w:rsid w:val="002376C7"/>
    <w:rsid w:val="00240A5A"/>
    <w:rsid w:val="00247749"/>
    <w:rsid w:val="00253F40"/>
    <w:rsid w:val="00255959"/>
    <w:rsid w:val="00273696"/>
    <w:rsid w:val="002B6A87"/>
    <w:rsid w:val="002F0C75"/>
    <w:rsid w:val="002F45FC"/>
    <w:rsid w:val="003016D6"/>
    <w:rsid w:val="00311249"/>
    <w:rsid w:val="00317B31"/>
    <w:rsid w:val="00322AB3"/>
    <w:rsid w:val="00337C99"/>
    <w:rsid w:val="003552BE"/>
    <w:rsid w:val="00356261"/>
    <w:rsid w:val="00357161"/>
    <w:rsid w:val="0035764C"/>
    <w:rsid w:val="0037381A"/>
    <w:rsid w:val="00380B55"/>
    <w:rsid w:val="00384D2C"/>
    <w:rsid w:val="003915F9"/>
    <w:rsid w:val="003B1026"/>
    <w:rsid w:val="003C1CA6"/>
    <w:rsid w:val="003F00F0"/>
    <w:rsid w:val="003F14B9"/>
    <w:rsid w:val="004556F9"/>
    <w:rsid w:val="00464ACE"/>
    <w:rsid w:val="00470144"/>
    <w:rsid w:val="0047279A"/>
    <w:rsid w:val="00474764"/>
    <w:rsid w:val="00477CCF"/>
    <w:rsid w:val="00477FCC"/>
    <w:rsid w:val="00485F11"/>
    <w:rsid w:val="00485F80"/>
    <w:rsid w:val="00494A8C"/>
    <w:rsid w:val="00521B3F"/>
    <w:rsid w:val="005407BE"/>
    <w:rsid w:val="005509DC"/>
    <w:rsid w:val="005579B7"/>
    <w:rsid w:val="00591780"/>
    <w:rsid w:val="00591F91"/>
    <w:rsid w:val="005A4182"/>
    <w:rsid w:val="005A6EED"/>
    <w:rsid w:val="005B57CA"/>
    <w:rsid w:val="005C206C"/>
    <w:rsid w:val="005C4F09"/>
    <w:rsid w:val="005D1744"/>
    <w:rsid w:val="005E60AD"/>
    <w:rsid w:val="005E7972"/>
    <w:rsid w:val="00607FCB"/>
    <w:rsid w:val="00615686"/>
    <w:rsid w:val="00621AA9"/>
    <w:rsid w:val="006225B7"/>
    <w:rsid w:val="00633292"/>
    <w:rsid w:val="00645840"/>
    <w:rsid w:val="00663DE3"/>
    <w:rsid w:val="00672C99"/>
    <w:rsid w:val="00673B91"/>
    <w:rsid w:val="00680ABB"/>
    <w:rsid w:val="00682476"/>
    <w:rsid w:val="006876D4"/>
    <w:rsid w:val="00691C99"/>
    <w:rsid w:val="006B5B8C"/>
    <w:rsid w:val="006E3438"/>
    <w:rsid w:val="006E59C8"/>
    <w:rsid w:val="006E6A66"/>
    <w:rsid w:val="0070710A"/>
    <w:rsid w:val="00727D57"/>
    <w:rsid w:val="0073751B"/>
    <w:rsid w:val="007409E9"/>
    <w:rsid w:val="007420D8"/>
    <w:rsid w:val="00760A00"/>
    <w:rsid w:val="00776CD9"/>
    <w:rsid w:val="00790A31"/>
    <w:rsid w:val="007A17F1"/>
    <w:rsid w:val="007C5371"/>
    <w:rsid w:val="007D696A"/>
    <w:rsid w:val="007D735F"/>
    <w:rsid w:val="007E1119"/>
    <w:rsid w:val="007F12BB"/>
    <w:rsid w:val="00804482"/>
    <w:rsid w:val="008066FF"/>
    <w:rsid w:val="0081164A"/>
    <w:rsid w:val="008400C6"/>
    <w:rsid w:val="0084695A"/>
    <w:rsid w:val="008501E5"/>
    <w:rsid w:val="00863C1A"/>
    <w:rsid w:val="00865774"/>
    <w:rsid w:val="008677C3"/>
    <w:rsid w:val="00894C14"/>
    <w:rsid w:val="008B4951"/>
    <w:rsid w:val="008D7D10"/>
    <w:rsid w:val="008E2CB8"/>
    <w:rsid w:val="00900AC5"/>
    <w:rsid w:val="00912973"/>
    <w:rsid w:val="00932987"/>
    <w:rsid w:val="00996E80"/>
    <w:rsid w:val="009A1593"/>
    <w:rsid w:val="009A4EE7"/>
    <w:rsid w:val="009A5635"/>
    <w:rsid w:val="009B0BA2"/>
    <w:rsid w:val="009C1AA6"/>
    <w:rsid w:val="009C6F53"/>
    <w:rsid w:val="009C7086"/>
    <w:rsid w:val="009D142B"/>
    <w:rsid w:val="009D61CC"/>
    <w:rsid w:val="00A14C81"/>
    <w:rsid w:val="00A2475C"/>
    <w:rsid w:val="00A62401"/>
    <w:rsid w:val="00A870A2"/>
    <w:rsid w:val="00A9647E"/>
    <w:rsid w:val="00AF4DB0"/>
    <w:rsid w:val="00AF5CC0"/>
    <w:rsid w:val="00B16FC5"/>
    <w:rsid w:val="00B2210F"/>
    <w:rsid w:val="00B26A29"/>
    <w:rsid w:val="00B44492"/>
    <w:rsid w:val="00B54C86"/>
    <w:rsid w:val="00B62717"/>
    <w:rsid w:val="00B86376"/>
    <w:rsid w:val="00B92C66"/>
    <w:rsid w:val="00BA20F5"/>
    <w:rsid w:val="00BA3082"/>
    <w:rsid w:val="00BA4B33"/>
    <w:rsid w:val="00BC2A04"/>
    <w:rsid w:val="00BC50A7"/>
    <w:rsid w:val="00BD0FD9"/>
    <w:rsid w:val="00BD544A"/>
    <w:rsid w:val="00BE0599"/>
    <w:rsid w:val="00BE1A8B"/>
    <w:rsid w:val="00BE1C8A"/>
    <w:rsid w:val="00BF4C92"/>
    <w:rsid w:val="00C05AD8"/>
    <w:rsid w:val="00C125F1"/>
    <w:rsid w:val="00C157D4"/>
    <w:rsid w:val="00C165CF"/>
    <w:rsid w:val="00C212E1"/>
    <w:rsid w:val="00C56200"/>
    <w:rsid w:val="00C952C7"/>
    <w:rsid w:val="00C9782F"/>
    <w:rsid w:val="00CA59DB"/>
    <w:rsid w:val="00CB2CC9"/>
    <w:rsid w:val="00CB6B7C"/>
    <w:rsid w:val="00CC0F76"/>
    <w:rsid w:val="00CE0CF1"/>
    <w:rsid w:val="00CE2719"/>
    <w:rsid w:val="00CF3549"/>
    <w:rsid w:val="00D35938"/>
    <w:rsid w:val="00D50260"/>
    <w:rsid w:val="00D72E27"/>
    <w:rsid w:val="00D95613"/>
    <w:rsid w:val="00DE0CE3"/>
    <w:rsid w:val="00DF58DE"/>
    <w:rsid w:val="00E1617F"/>
    <w:rsid w:val="00E40B6E"/>
    <w:rsid w:val="00E43152"/>
    <w:rsid w:val="00E53C70"/>
    <w:rsid w:val="00EB17F9"/>
    <w:rsid w:val="00EB41C0"/>
    <w:rsid w:val="00EB4EC0"/>
    <w:rsid w:val="00EB68CF"/>
    <w:rsid w:val="00EE0446"/>
    <w:rsid w:val="00EF091D"/>
    <w:rsid w:val="00F0198A"/>
    <w:rsid w:val="00F178AB"/>
    <w:rsid w:val="00F2213B"/>
    <w:rsid w:val="00F2420E"/>
    <w:rsid w:val="00F3552C"/>
    <w:rsid w:val="00F4201A"/>
    <w:rsid w:val="00F56755"/>
    <w:rsid w:val="00FB0C91"/>
    <w:rsid w:val="00FD4FCA"/>
    <w:rsid w:val="00FE3C9E"/>
    <w:rsid w:val="00FF3684"/>
    <w:rsid w:val="00FF4936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1307C"/>
  <w15:chartTrackingRefBased/>
  <w15:docId w15:val="{CC32F2FC-5D23-46FF-983C-BD0073D5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FD9"/>
    <w:rPr>
      <w:rFonts w:eastAsiaTheme="minorHAnsi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BD0FD9"/>
    <w:pPr>
      <w:ind w:left="720"/>
      <w:contextualSpacing/>
    </w:pPr>
  </w:style>
  <w:style w:type="paragraph" w:styleId="Bezodstpw">
    <w:name w:val="No Spacing"/>
    <w:uiPriority w:val="1"/>
    <w:qFormat/>
    <w:rsid w:val="00BD0FD9"/>
    <w:pPr>
      <w:spacing w:after="0" w:line="240" w:lineRule="auto"/>
    </w:pPr>
    <w:rPr>
      <w:rFonts w:eastAsiaTheme="minorHAnsi"/>
      <w:lang w:val="pl-PL" w:eastAsia="en-US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BD0FD9"/>
    <w:rPr>
      <w:rFonts w:eastAsiaTheme="minorHAnsi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FD9"/>
    <w:rPr>
      <w:rFonts w:eastAsiaTheme="minorHAnsi"/>
      <w:sz w:val="20"/>
      <w:szCs w:val="20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FD9"/>
    <w:rPr>
      <w:rFonts w:eastAsiaTheme="minorHAnsi"/>
      <w:b/>
      <w:bCs/>
      <w:sz w:val="20"/>
      <w:szCs w:val="20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C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5CF"/>
    <w:rPr>
      <w:rFonts w:eastAsiaTheme="minorHAnsi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C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5CF"/>
    <w:rPr>
      <w:rFonts w:eastAsiaTheme="minorHAnsi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EF091D"/>
    <w:rPr>
      <w:color w:val="0563C1" w:themeColor="hyperlink"/>
      <w:u w:val="single"/>
    </w:rPr>
  </w:style>
  <w:style w:type="paragraph" w:customStyle="1" w:styleId="Default">
    <w:name w:val="Default"/>
    <w:rsid w:val="00EF091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6200"/>
    <w:pPr>
      <w:spacing w:after="0" w:line="240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6200"/>
    <w:rPr>
      <w:rFonts w:ascii="Calibri" w:eastAsiaTheme="minorHAnsi" w:hAnsi="Calibri" w:cs="Calibri"/>
      <w:sz w:val="20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7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Anna Szydło</cp:lastModifiedBy>
  <cp:revision>2</cp:revision>
  <dcterms:created xsi:type="dcterms:W3CDTF">2026-01-21T12:00:00Z</dcterms:created>
  <dcterms:modified xsi:type="dcterms:W3CDTF">2026-01-21T12:00:00Z</dcterms:modified>
</cp:coreProperties>
</file>